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814F" w14:textId="125EB6B1" w:rsidR="003F62DF" w:rsidRPr="00F116A5" w:rsidRDefault="003F62DF" w:rsidP="00F116A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116A5"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 w:rsidRPr="00F116A5"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14446528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79DB9D28" w14:textId="0E3C24D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7928F200" w14:textId="2F99F43C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47445723" w14:textId="2E0AF480" w:rsidR="003F62DF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279ABE37" w14:textId="77777777" w:rsidR="00F116A5" w:rsidRPr="00F116A5" w:rsidRDefault="00F116A5" w:rsidP="00F116A5">
      <w:pPr>
        <w:rPr>
          <w:rFonts w:ascii="Times New Roman" w:hAnsi="Times New Roman" w:cs="Times New Roman"/>
          <w:sz w:val="24"/>
          <w:szCs w:val="24"/>
        </w:rPr>
      </w:pPr>
    </w:p>
    <w:p w14:paraId="267E9297" w14:textId="75529D47" w:rsidR="00F116A5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</w:p>
    <w:p w14:paraId="71CF0444" w14:textId="403B787D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concurs.):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2DE38AC2" w14:textId="448A3352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0D4EF73E" w14:textId="04DF9773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sz w:val="24"/>
          <w:szCs w:val="24"/>
        </w:rPr>
        <w:t>E-mail: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296FB2EF" w14:textId="10C1D545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7CDA4CBA" w14:textId="771F7E45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9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2698"/>
        <w:gridCol w:w="2314"/>
        <w:gridCol w:w="1890"/>
        <w:gridCol w:w="2520"/>
      </w:tblGrid>
      <w:tr w:rsidR="003F62DF" w:rsidRPr="00F116A5" w14:paraId="402F12F3" w14:textId="77777777" w:rsidTr="00F116A5">
        <w:trPr>
          <w:trHeight w:val="15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E782D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532E2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EE75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B6C7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DB393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DF" w:rsidRPr="00F116A5" w14:paraId="71EA313F" w14:textId="77777777" w:rsidTr="00F116A5">
        <w:trPr>
          <w:trHeight w:val="345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6DA8D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B511A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33247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CB3D9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2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C4E72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Numărul</w:t>
            </w:r>
            <w:proofErr w:type="spellEnd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</w:p>
        </w:tc>
      </w:tr>
      <w:tr w:rsidR="003F62DF" w:rsidRPr="00F116A5" w14:paraId="12BA09BA" w14:textId="77777777" w:rsidTr="00F116A5">
        <w:trPr>
          <w:trHeight w:val="1065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022D1" w14:textId="77777777" w:rsidR="003F62DF" w:rsidRPr="00F116A5" w:rsidRDefault="003F62DF" w:rsidP="00F11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4792E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9979A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9CA22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C565C" w14:textId="77777777" w:rsidR="003F62DF" w:rsidRPr="00F116A5" w:rsidRDefault="003F62DF" w:rsidP="00F1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62E1C" w14:textId="77777777" w:rsidR="00F116A5" w:rsidRPr="00F116A5" w:rsidRDefault="00F116A5" w:rsidP="00F116A5">
      <w:pPr>
        <w:rPr>
          <w:rFonts w:ascii="Times New Roman" w:hAnsi="Times New Roman" w:cs="Times New Roman"/>
          <w:sz w:val="24"/>
          <w:szCs w:val="24"/>
        </w:rPr>
      </w:pPr>
    </w:p>
    <w:p w14:paraId="419C1E4F" w14:textId="345E04AD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solicitate.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1D43914C" w14:textId="15E64002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4429C6DC" w14:textId="62BBE093" w:rsidR="003F62DF" w:rsidRPr="00F116A5" w:rsidRDefault="003F62DF" w:rsidP="00F116A5">
      <w:pPr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art. 4 </w:t>
      </w:r>
      <w:hyperlink r:id="rId4" w:anchor="p-94669750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pct. 2</w:t>
        </w:r>
      </w:hyperlink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5" w:anchor="p-94669759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11</w:t>
        </w:r>
      </w:hyperlink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 (1) </w:t>
      </w:r>
      <w:hyperlink r:id="rId6" w:anchor="p-94669794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lit. a)</w:t>
        </w:r>
      </w:hyperlink>
      <w:r w:rsidRPr="00F116A5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95/46/CE</w:t>
        </w:r>
      </w:hyperlink>
      <w:r w:rsidRPr="00F116A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11BEACE2" w14:textId="3D325A6D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5AFB0E1A" w14:textId="4FC3EF4C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69841C88" w14:textId="77777777" w:rsid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format electronic.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27515F50" w14:textId="3DE7325E" w:rsidR="003F62DF" w:rsidRPr="00F116A5" w:rsidRDefault="003F62DF" w:rsidP="00F116A5">
      <w:pPr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77C250E8" w14:textId="2782C396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116A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74A6D41B" w14:textId="0C478C30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116A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formular.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F240B84" w14:textId="56DD6560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64DA9C98" w14:textId="0686ECD2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116A5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□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1B664A9" w14:textId="0137D8B5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116A5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formular.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3D408162" w14:textId="568155DE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. . . . . .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F116A5" w:rsidRPr="00F116A5">
        <w:rPr>
          <w:rFonts w:ascii="Times New Roman" w:hAnsi="Times New Roman" w:cs="Times New Roman"/>
          <w:color w:val="333333"/>
          <w:sz w:val="24"/>
          <w:szCs w:val="24"/>
        </w:rPr>
        <w:t>……………</w:t>
      </w:r>
    </w:p>
    <w:p w14:paraId="6EB06C35" w14:textId="3AC815BE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333333"/>
          <w:sz w:val="24"/>
          <w:szCs w:val="24"/>
        </w:rPr>
        <w:t>   </w:t>
      </w:r>
      <w:r w:rsidR="00F116A5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8" w:anchor="p-312709239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art. 326</w:t>
        </w:r>
      </w:hyperlink>
      <w:r w:rsidRPr="00F116A5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  <w:r w:rsidRPr="00F116A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14:paraId="013424C5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6026"/>
      </w:tblGrid>
      <w:tr w:rsidR="003F62DF" w:rsidRPr="00F116A5" w14:paraId="02D6A4B9" w14:textId="77777777" w:rsidTr="003F62D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34241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1834C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2DF" w:rsidRPr="00F116A5" w14:paraId="043EBFC4" w14:textId="77777777" w:rsidTr="00F116A5">
        <w:trPr>
          <w:trHeight w:val="188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03D4" w14:textId="77777777" w:rsidR="003F62DF" w:rsidRPr="00F116A5" w:rsidRDefault="003F62DF" w:rsidP="00F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1C5D2" w14:textId="77777777" w:rsidR="003F62DF" w:rsidRPr="00F116A5" w:rsidRDefault="003F62DF" w:rsidP="00F116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Data:</w:t>
            </w:r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Semnătura</w:t>
            </w:r>
            <w:proofErr w:type="spellEnd"/>
            <w:r w:rsidRPr="00F1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764F77B3" w14:textId="77777777" w:rsidR="008324E0" w:rsidRPr="00F116A5" w:rsidRDefault="008324E0" w:rsidP="00F116A5">
      <w:pPr>
        <w:rPr>
          <w:rFonts w:ascii="Times New Roman" w:hAnsi="Times New Roman" w:cs="Times New Roman"/>
          <w:sz w:val="24"/>
          <w:szCs w:val="24"/>
        </w:rPr>
      </w:pPr>
    </w:p>
    <w:p w14:paraId="61B00264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3858939D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3923CD58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2D89849C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0FB10DC5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166A01C8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7BD30682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69AD938C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43025879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4C08E20A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0BD4696F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6EDD8BF5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444F1E87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2A5309DF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4EAE67E8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p w14:paraId="13D51C74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t>Art. 38. -</w:t>
      </w:r>
    </w:p>
    <w:p w14:paraId="71B15A9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teste-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BEC510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cunoştinţele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73EC7597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bibliografiei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reflecte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51682714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(4)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bibliografiei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3B0029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(5)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redactarea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260D41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(6)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teste-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variantă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test-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propusă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variantă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test-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probe.</w:t>
      </w:r>
    </w:p>
    <w:p w14:paraId="47B46F42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(7)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confidenţialităţii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variantelor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701D2412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(8)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Variantele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închid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plicuri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sigilate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purtând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28FDB25D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(9)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maxim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27B05BF3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(10)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apelul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nominal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formalităţilor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face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nu 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apelului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nominal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nu fac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absenţi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respinşi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3C43BA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zi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post.</w:t>
      </w:r>
    </w:p>
    <w:p w14:paraId="0A31C00E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ieşirea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concurs,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însoţiţi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1A17DA7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(13)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complexitate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subiectelor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3 ore.</w:t>
      </w:r>
    </w:p>
    <w:p w14:paraId="1B5E3BB9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(14)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întârzie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oricărei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afara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precum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0925E9B3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(15)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are loc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formalităţilor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nu 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permisă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deţinerea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vreunei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telefoanelor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distanţă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0E83221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(16)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 w:rsidR="00000000" w:rsidRPr="00F116A5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F116A5">
        <w:rPr>
          <w:rFonts w:ascii="Times New Roman" w:hAnsi="Times New Roman" w:cs="Times New Roman"/>
          <w:sz w:val="24"/>
          <w:szCs w:val="24"/>
        </w:rPr>
        <w:instrText>HYPERLINK "https://lege5.ro/App/Document/gezdsnbqhezds/hotararea-nr-1336-2022-pentru-aprobarea-regulamentului-cadru-privind-organizarea-si-dezvoltarea-carierei-personalului-contractual-din-sectorul-bugetar-platit-din-fonduri-publice?pid=505557717&amp;d=2023-01-31" \l "p-505557717" \t "_blank"</w:instrText>
      </w:r>
      <w:r w:rsidR="00000000" w:rsidRPr="00F116A5">
        <w:rPr>
          <w:rFonts w:ascii="Times New Roman" w:hAnsi="Times New Roman" w:cs="Times New Roman"/>
          <w:sz w:val="24"/>
          <w:szCs w:val="24"/>
        </w:rPr>
      </w:r>
      <w:r w:rsidR="00000000" w:rsidRPr="00F116A5">
        <w:rPr>
          <w:rFonts w:ascii="Times New Roman" w:hAnsi="Times New Roman" w:cs="Times New Roman"/>
          <w:sz w:val="24"/>
          <w:szCs w:val="24"/>
        </w:rPr>
        <w:fldChar w:fldCharType="separate"/>
      </w:r>
      <w:r w:rsidRPr="00F116A5">
        <w:rPr>
          <w:rFonts w:ascii="Times New Roman" w:hAnsi="Times New Roman" w:cs="Times New Roman"/>
          <w:color w:val="1A86B6"/>
          <w:sz w:val="24"/>
          <w:szCs w:val="24"/>
          <w:u w:val="single"/>
        </w:rPr>
        <w:t>alin</w:t>
      </w:r>
      <w:proofErr w:type="spellEnd"/>
      <w:r w:rsidRPr="00F116A5">
        <w:rPr>
          <w:rFonts w:ascii="Times New Roman" w:hAnsi="Times New Roman" w:cs="Times New Roman"/>
          <w:color w:val="1A86B6"/>
          <w:sz w:val="24"/>
          <w:szCs w:val="24"/>
          <w:u w:val="single"/>
        </w:rPr>
        <w:t>. (15)</w:t>
      </w:r>
      <w:r w:rsidR="00000000" w:rsidRPr="00F116A5">
        <w:rPr>
          <w:rFonts w:ascii="Times New Roman" w:hAnsi="Times New Roman" w:cs="Times New Roman"/>
          <w:color w:val="1A86B6"/>
          <w:sz w:val="24"/>
          <w:szCs w:val="24"/>
          <w:u w:val="single"/>
        </w:rPr>
        <w:fldChar w:fldCharType="end"/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elimină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anulat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"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întâmplate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-verbal.</w:t>
      </w:r>
    </w:p>
    <w:p w14:paraId="57BE95D4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(17)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redactează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anulării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hârtia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purtând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lastRenderedPageBreak/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prenumelui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colţul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sus,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lipeşte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sigilării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4586D3E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(18)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testul-grilă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9" w:anchor="p-505558119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nr. 4</w:t>
        </w:r>
      </w:hyperlink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607D6392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t>Art. 39. -</w:t>
      </w:r>
    </w:p>
    <w:p w14:paraId="4561B985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abilităţilor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aptitudinilor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51170938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t>Art. 40. -</w:t>
      </w:r>
    </w:p>
    <w:p w14:paraId="7BC9846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</w:p>
    <w:p w14:paraId="7CE871A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a)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C5DDE2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dificile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8214694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c)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îndemânare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practice;</w:t>
      </w:r>
      <w:proofErr w:type="gramEnd"/>
    </w:p>
    <w:p w14:paraId="6F9D7AB2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d)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779043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e)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practice.</w:t>
      </w:r>
    </w:p>
    <w:p w14:paraId="48A2734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1B2DAD29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sarcinile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/practice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abilităţilor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aptitudinilor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măsurare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4258B81D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(4)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constatate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-verbal,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609C0F8B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t>Art. 41. -</w:t>
      </w:r>
    </w:p>
    <w:p w14:paraId="5E0D2D9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testează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abilităţile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aptitudinile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A9C1CB5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probe,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12060D78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a)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cunoştinţe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D3F7389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40186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c)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3F5D646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d)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criză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92A42F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e)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583AED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f)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iniţiativă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creativitate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44D9623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 (2) </w:t>
      </w:r>
      <w:hyperlink r:id="rId10" w:anchor="p-505557739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lit. d)</w:t>
        </w:r>
      </w:hyperlink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11" w:anchor="p-505557740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e)</w:t>
        </w:r>
      </w:hyperlink>
      <w:r w:rsidRPr="00F116A5">
        <w:rPr>
          <w:rFonts w:ascii="Times New Roman" w:hAnsi="Times New Roman" w:cs="Times New Roman"/>
          <w:sz w:val="24"/>
          <w:szCs w:val="24"/>
        </w:rPr>
        <w:t xml:space="preserve"> 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opţional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629A1386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(4)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4BEBEE52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a)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</w:p>
    <w:p w14:paraId="3522962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AE84D1D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c)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managerială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0CE3025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(5)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-un termen de 4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7BDC9A6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(6)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Data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591CCF2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(7)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Nu se pot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politice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sindicală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religie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materială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originea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sex.</w:t>
      </w:r>
    </w:p>
    <w:p w14:paraId="4144656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(8)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Întrebările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răspunsurile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-verbal,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77F431BB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(9)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înregistra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audio/video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permisă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6E24CE0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(10)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minimum un an de la data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15014042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lastRenderedPageBreak/>
        <w:t>Art. 42. -</w:t>
      </w:r>
    </w:p>
    <w:p w14:paraId="6C0AE9B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maximum 100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79B5AF41" w14:textId="77777777" w:rsidR="003F62DF" w:rsidRPr="00F116A5" w:rsidRDefault="003F62DF" w:rsidP="00F116A5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A76A7"/>
          <w:sz w:val="24"/>
          <w:szCs w:val="24"/>
        </w:rPr>
        <w:t>Art. 43. -</w:t>
      </w:r>
    </w:p>
    <w:p w14:paraId="4A11486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Anterior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corectării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numerotată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14144229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baremului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corectare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 </w:t>
      </w:r>
      <w:hyperlink r:id="rId12" w:anchor="p-505558122" w:tgtFrame="_blank" w:history="1">
        <w:r w:rsidRPr="00F116A5">
          <w:rPr>
            <w:rFonts w:ascii="Times New Roman" w:hAnsi="Times New Roman" w:cs="Times New Roman"/>
            <w:color w:val="1A86B6"/>
            <w:sz w:val="24"/>
            <w:szCs w:val="24"/>
            <w:u w:val="single"/>
          </w:rPr>
          <w:t>nr. 5</w:t>
        </w:r>
      </w:hyperlink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realizându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probe.</w:t>
      </w:r>
    </w:p>
    <w:p w14:paraId="683ADA16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corectează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sigilate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4CD6ADD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(4)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face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mediei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aritmetice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47897734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(5)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Este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a face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corecturi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însemnări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direct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7FAED456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(6)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însemnări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conducă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anulează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corectează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anulat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"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centralizatorul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consemnându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-verbal.</w:t>
      </w:r>
    </w:p>
    <w:p w14:paraId="7114EE43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diferenţe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procedează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</w:p>
    <w:p w14:paraId="4B056677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a)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formată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3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recorectează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recorectării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diferenţe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concurs;</w:t>
      </w:r>
      <w:proofErr w:type="gramEnd"/>
    </w:p>
    <w:p w14:paraId="2938D340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formată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din 5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se face media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eliminându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mare.</w:t>
      </w:r>
    </w:p>
    <w:p w14:paraId="040D06E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interzice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desigilarea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recorectării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02CFB9A6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2A76A7"/>
          <w:sz w:val="24"/>
          <w:szCs w:val="24"/>
        </w:rPr>
        <w:t>Art. 45. -</w:t>
      </w:r>
    </w:p>
    <w:p w14:paraId="7611B8F8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finale,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desigilează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20F1ED9F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</w:p>
    <w:p w14:paraId="7C35A9F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a)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minimum 50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1C6C505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minimum 70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1812B8E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2A76A7"/>
          <w:sz w:val="24"/>
          <w:szCs w:val="24"/>
        </w:rPr>
        <w:t>Art. 46. -</w:t>
      </w:r>
    </w:p>
    <w:p w14:paraId="4370BF27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practice,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art. 43 </w:t>
      </w:r>
      <w:proofErr w:type="spellStart"/>
      <w:r w:rsidR="00000000" w:rsidRPr="00F116A5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F116A5">
        <w:rPr>
          <w:rFonts w:ascii="Times New Roman" w:hAnsi="Times New Roman" w:cs="Times New Roman"/>
          <w:sz w:val="24"/>
          <w:szCs w:val="24"/>
        </w:rPr>
        <w:instrText>HYPERLINK "https://lege5.ro/App/Document/gezdsnbqhezds/hotararea-nr-1336-2022-pentru-aprobarea-regulamentului-cadru-privind-organizarea-si-dezvoltarea-carierei-personalului-contractual-din-sectorul-bugetar-platit-din-fonduri-publice?pid=505557759&amp;d=2023-01-31" \l "p-505557759" \t "_blank"</w:instrText>
      </w:r>
      <w:r w:rsidR="00000000" w:rsidRPr="00F116A5">
        <w:rPr>
          <w:rFonts w:ascii="Times New Roman" w:hAnsi="Times New Roman" w:cs="Times New Roman"/>
          <w:sz w:val="24"/>
          <w:szCs w:val="24"/>
        </w:rPr>
      </w:r>
      <w:r w:rsidR="00000000" w:rsidRPr="00F116A5">
        <w:rPr>
          <w:rFonts w:ascii="Times New Roman" w:hAnsi="Times New Roman" w:cs="Times New Roman"/>
          <w:sz w:val="24"/>
          <w:szCs w:val="24"/>
        </w:rPr>
        <w:fldChar w:fldCharType="separate"/>
      </w:r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alin</w:t>
      </w:r>
      <w:proofErr w:type="spellEnd"/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. (4)</w:t>
      </w:r>
      <w:r w:rsidR="00000000"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fldChar w:fldCharType="end"/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art. 44 </w:t>
      </w:r>
      <w:proofErr w:type="spellStart"/>
      <w:r w:rsidR="00000000" w:rsidRPr="00F116A5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F116A5">
        <w:rPr>
          <w:rFonts w:ascii="Times New Roman" w:hAnsi="Times New Roman" w:cs="Times New Roman"/>
          <w:sz w:val="24"/>
          <w:szCs w:val="24"/>
        </w:rPr>
        <w:instrText>HYPERLINK "https://lege5.ro/App/Document/gezdsnbqhezds/hotararea-nr-1336-2022-pentru-aprobarea-regulamentului-cadru-privind-organizarea-si-dezvoltarea-carierei-personalului-contractual-din-sectorul-bugetar-platit-din-fonduri-publice?pid=505557763&amp;d=2023-01-31" \l "p-505557763" \t "_blank"</w:instrText>
      </w:r>
      <w:r w:rsidR="00000000" w:rsidRPr="00F116A5">
        <w:rPr>
          <w:rFonts w:ascii="Times New Roman" w:hAnsi="Times New Roman" w:cs="Times New Roman"/>
          <w:sz w:val="24"/>
          <w:szCs w:val="24"/>
        </w:rPr>
      </w:r>
      <w:r w:rsidR="00000000" w:rsidRPr="00F116A5">
        <w:rPr>
          <w:rFonts w:ascii="Times New Roman" w:hAnsi="Times New Roman" w:cs="Times New Roman"/>
          <w:sz w:val="24"/>
          <w:szCs w:val="24"/>
        </w:rPr>
        <w:fldChar w:fldCharType="separate"/>
      </w:r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alin</w:t>
      </w:r>
      <w:proofErr w:type="spellEnd"/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. (1)</w:t>
      </w:r>
      <w:r w:rsidR="00000000"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fldChar w:fldCharType="end"/>
      </w:r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57620978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individual,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notare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67121350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Sunt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:</w:t>
      </w:r>
    </w:p>
    <w:p w14:paraId="3B7BD248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a)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minimum 50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F116A5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83EF56A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b)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minimum 70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4259B481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color w:val="2A76A7"/>
          <w:sz w:val="24"/>
          <w:szCs w:val="24"/>
        </w:rPr>
        <w:t>Art. 47. -</w:t>
      </w:r>
    </w:p>
    <w:p w14:paraId="066EA045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(1)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final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aritmetică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5D071DA7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(2)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descrescătoare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menţiona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Centralizatorul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nominal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75097E69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(3)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internet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"admis"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08436DD2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(4)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post vacant/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post,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1DD8C584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lastRenderedPageBreak/>
        <w:t>(5)</w:t>
      </w:r>
      <w:r w:rsidRPr="00F116A5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F116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invitaţi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201E2395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(6)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nu s-a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mare la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invitaţi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 w:rsidR="00000000" w:rsidRPr="00F116A5">
        <w:rPr>
          <w:rFonts w:ascii="Times New Roman" w:hAnsi="Times New Roman" w:cs="Times New Roman"/>
          <w:sz w:val="24"/>
          <w:szCs w:val="24"/>
        </w:rPr>
        <w:fldChar w:fldCharType="begin"/>
      </w:r>
      <w:r w:rsidR="00000000" w:rsidRPr="00F116A5">
        <w:rPr>
          <w:rFonts w:ascii="Times New Roman" w:hAnsi="Times New Roman" w:cs="Times New Roman"/>
          <w:sz w:val="24"/>
          <w:szCs w:val="24"/>
        </w:rPr>
        <w:instrText>HYPERLINK "https://lege5.ro/App/Document/gezdsnbqhezds/hotararea-nr-1336-2022-pentru-aprobarea-regulamentului-cadru-privind-organizarea-si-dezvoltarea-carierei-personalului-contractual-din-sectorul-bugetar-platit-din-fonduri-publice?pid=505557781&amp;d=2023-01-31" \l "p-505557781" \t "_blank"</w:instrText>
      </w:r>
      <w:r w:rsidR="00000000" w:rsidRPr="00F116A5">
        <w:rPr>
          <w:rFonts w:ascii="Times New Roman" w:hAnsi="Times New Roman" w:cs="Times New Roman"/>
          <w:sz w:val="24"/>
          <w:szCs w:val="24"/>
        </w:rPr>
      </w:r>
      <w:r w:rsidR="00000000" w:rsidRPr="00F116A5">
        <w:rPr>
          <w:rFonts w:ascii="Times New Roman" w:hAnsi="Times New Roman" w:cs="Times New Roman"/>
          <w:sz w:val="24"/>
          <w:szCs w:val="24"/>
        </w:rPr>
        <w:fldChar w:fldCharType="separate"/>
      </w:r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alin</w:t>
      </w:r>
      <w:proofErr w:type="spellEnd"/>
      <w:r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t>. (3)</w:t>
      </w:r>
      <w:r w:rsidR="00000000" w:rsidRPr="00F116A5">
        <w:rPr>
          <w:rStyle w:val="Hyperlink"/>
          <w:rFonts w:ascii="Times New Roman" w:hAnsi="Times New Roman" w:cs="Times New Roman"/>
          <w:color w:val="1A86B6"/>
          <w:sz w:val="24"/>
          <w:szCs w:val="24"/>
        </w:rPr>
        <w:fldChar w:fldCharType="end"/>
      </w:r>
      <w:r w:rsidRPr="00F116A5">
        <w:rPr>
          <w:rFonts w:ascii="Times New Roman" w:hAnsi="Times New Roman" w:cs="Times New Roman"/>
          <w:sz w:val="24"/>
          <w:szCs w:val="24"/>
        </w:rPr>
        <w:t>.</w:t>
      </w:r>
    </w:p>
    <w:p w14:paraId="3F47E1AC" w14:textId="77777777" w:rsidR="003F62DF" w:rsidRPr="00F116A5" w:rsidRDefault="003F62DF" w:rsidP="00F116A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116A5">
        <w:rPr>
          <w:rFonts w:ascii="Times New Roman" w:hAnsi="Times New Roman" w:cs="Times New Roman"/>
          <w:b/>
          <w:bCs/>
          <w:color w:val="222222"/>
          <w:sz w:val="24"/>
          <w:szCs w:val="24"/>
        </w:rPr>
        <w:t>(7)</w:t>
      </w:r>
      <w:r w:rsidRPr="00F116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116A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F116A5">
        <w:rPr>
          <w:rFonts w:ascii="Times New Roman" w:hAnsi="Times New Roman" w:cs="Times New Roman"/>
          <w:sz w:val="24"/>
          <w:szCs w:val="24"/>
        </w:rPr>
        <w:t>-verbal.</w:t>
      </w:r>
    </w:p>
    <w:p w14:paraId="43A95575" w14:textId="77777777" w:rsidR="003F62DF" w:rsidRPr="00F116A5" w:rsidRDefault="003F62DF" w:rsidP="00F116A5">
      <w:pPr>
        <w:rPr>
          <w:rFonts w:ascii="Times New Roman" w:hAnsi="Times New Roman" w:cs="Times New Roman"/>
          <w:sz w:val="24"/>
          <w:szCs w:val="24"/>
        </w:rPr>
      </w:pPr>
    </w:p>
    <w:sectPr w:rsidR="003F62DF" w:rsidRPr="00F1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DF"/>
    <w:rsid w:val="0005030E"/>
    <w:rsid w:val="003F62DF"/>
    <w:rsid w:val="005E33DA"/>
    <w:rsid w:val="008324E0"/>
    <w:rsid w:val="00F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AB87"/>
  <w15:chartTrackingRefBased/>
  <w15:docId w15:val="{D91A9FE9-C8EA-4A01-A0E4-9ABD79E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F62D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3F62DF"/>
  </w:style>
  <w:style w:type="character" w:styleId="Hyperlink">
    <w:name w:val="Hyperlink"/>
    <w:basedOn w:val="DefaultParagraphFont"/>
    <w:uiPriority w:val="99"/>
    <w:semiHidden/>
    <w:unhideWhenUsed/>
    <w:rsid w:val="003F62D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62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3F62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zdmnrzgi/codul-penal-din-2009?pid=312709239&amp;d=2023-01-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1-31" TargetMode="External"/><Relationship Id="rId12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122&amp;d=2023-01-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3-01-31" TargetMode="External"/><Relationship Id="rId11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7740&amp;d=2023-01-31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3-01-31" TargetMode="External"/><Relationship Id="rId10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7739&amp;d=2023-01-31" TargetMode="External"/><Relationship Id="rId4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3-01-31" TargetMode="External"/><Relationship Id="rId9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119&amp;d=2023-01-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</dc:creator>
  <cp:keywords/>
  <dc:description/>
  <cp:lastModifiedBy>C2</cp:lastModifiedBy>
  <cp:revision>2</cp:revision>
  <dcterms:created xsi:type="dcterms:W3CDTF">2023-01-31T12:46:00Z</dcterms:created>
  <dcterms:modified xsi:type="dcterms:W3CDTF">2023-01-31T12:46:00Z</dcterms:modified>
</cp:coreProperties>
</file>